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DD7AB" w14:textId="45977536" w:rsidR="00EB4988" w:rsidRPr="009A528F" w:rsidRDefault="00EB4988" w:rsidP="5C552852">
      <w:pPr>
        <w:pStyle w:val="Heading1"/>
        <w:spacing w:before="0" w:after="0"/>
        <w:rPr>
          <w:rFonts w:eastAsiaTheme="minorEastAsia"/>
        </w:rPr>
      </w:pPr>
      <w:r>
        <w:t>Atividade: 7-1-7 e surtos no noticiário</w:t>
      </w:r>
    </w:p>
    <w:p w14:paraId="17842671" w14:textId="77777777" w:rsidR="00EB4988" w:rsidRPr="009A528F" w:rsidRDefault="00EB4988" w:rsidP="0026325B">
      <w:pPr>
        <w:pStyle w:val="Heading1"/>
        <w:spacing w:before="0" w:after="0"/>
      </w:pPr>
    </w:p>
    <w:p w14:paraId="12004BFF" w14:textId="77777777" w:rsidR="0072302F" w:rsidRPr="009A528F" w:rsidRDefault="0072302F" w:rsidP="0026325B">
      <w:pPr>
        <w:pStyle w:val="Heading2"/>
        <w:spacing w:before="0" w:after="0"/>
        <w:rPr>
          <w:sz w:val="12"/>
          <w:szCs w:val="12"/>
        </w:rPr>
      </w:pPr>
    </w:p>
    <w:p w14:paraId="2CCBC149" w14:textId="250CE06B" w:rsidR="0072302F" w:rsidRPr="009A528F" w:rsidRDefault="2A28D8D9" w:rsidP="00E30046">
      <w:pPr>
        <w:pStyle w:val="Heading2"/>
        <w:spacing w:before="0" w:after="0"/>
      </w:pPr>
      <w:r>
        <w:t>Conjunto de cenários: Malária</w:t>
      </w:r>
    </w:p>
    <w:p w14:paraId="267CCCA7" w14:textId="51246A6B" w:rsidR="006F57C1" w:rsidRPr="009A528F" w:rsidRDefault="00454949" w:rsidP="006F57C1">
      <w:pPr>
        <w:pStyle w:val="Heading3"/>
      </w:pPr>
      <w:r>
        <w:t>Instruções</w:t>
      </w:r>
    </w:p>
    <w:p w14:paraId="35A324A0" w14:textId="6DA9A55B" w:rsidR="004A39D0" w:rsidRPr="009A528F" w:rsidRDefault="000A46A3" w:rsidP="004A39D0">
      <w:pPr>
        <w:pStyle w:val="BodyText"/>
        <w:numPr>
          <w:ilvl w:val="0"/>
          <w:numId w:val="46"/>
        </w:numPr>
        <w:spacing w:after="0" w:line="240" w:lineRule="auto"/>
        <w:rPr>
          <w:sz w:val="22"/>
          <w:szCs w:val="22"/>
        </w:rPr>
      </w:pPr>
      <w:r>
        <w:rPr>
          <w:sz w:val="22"/>
        </w:rPr>
        <w:t xml:space="preserve">Sozinho, </w:t>
      </w:r>
      <w:r>
        <w:rPr>
          <w:b/>
          <w:sz w:val="22"/>
        </w:rPr>
        <w:t xml:space="preserve">leia </w:t>
      </w:r>
      <w:r>
        <w:rPr>
          <w:sz w:val="22"/>
        </w:rPr>
        <w:t>o(s) seguinte(s) artigo(s) de notícias.</w:t>
      </w:r>
    </w:p>
    <w:p w14:paraId="4FC4000E" w14:textId="5D7E678E" w:rsidR="00EB4988" w:rsidRPr="009A528F" w:rsidRDefault="000A46A3" w:rsidP="00EB4988">
      <w:pPr>
        <w:pStyle w:val="BodyText"/>
        <w:numPr>
          <w:ilvl w:val="0"/>
          <w:numId w:val="46"/>
        </w:numPr>
        <w:spacing w:after="0" w:line="240" w:lineRule="auto"/>
        <w:rPr>
          <w:sz w:val="22"/>
          <w:szCs w:val="22"/>
        </w:rPr>
      </w:pPr>
      <w:r>
        <w:rPr>
          <w:sz w:val="22"/>
        </w:rPr>
        <w:t>No seu grupo</w:t>
      </w:r>
      <w:r>
        <w:rPr>
          <w:b/>
          <w:sz w:val="22"/>
        </w:rPr>
        <w:t>, discutam</w:t>
      </w:r>
      <w:r>
        <w:rPr>
          <w:sz w:val="22"/>
        </w:rPr>
        <w:t xml:space="preserve"> aplicar a meta 7-1-7 à situação descrita no artigo. </w:t>
      </w:r>
    </w:p>
    <w:p w14:paraId="7160A01A" w14:textId="441BDE16" w:rsidR="607151DD" w:rsidRDefault="607151DD" w:rsidP="5C552852">
      <w:pPr>
        <w:pStyle w:val="BodyText"/>
        <w:numPr>
          <w:ilvl w:val="1"/>
          <w:numId w:val="46"/>
        </w:numPr>
        <w:spacing w:after="0" w:line="240" w:lineRule="auto"/>
        <w:rPr>
          <w:sz w:val="22"/>
          <w:szCs w:val="22"/>
        </w:rPr>
      </w:pPr>
      <w:r>
        <w:rPr>
          <w:sz w:val="22"/>
        </w:rPr>
        <w:t>Como o uso do 7-1-7 em tempo real pode ter sido útil na fase inicial de resposta a esse surto?</w:t>
      </w:r>
    </w:p>
    <w:p w14:paraId="5E7484A1" w14:textId="7855A74A" w:rsidR="00EB4988" w:rsidRPr="00EB4988" w:rsidRDefault="00EB4988" w:rsidP="00EB4988">
      <w:pPr>
        <w:pStyle w:val="BodyText"/>
        <w:numPr>
          <w:ilvl w:val="1"/>
          <w:numId w:val="46"/>
        </w:numPr>
        <w:spacing w:after="0" w:line="240" w:lineRule="auto"/>
        <w:rPr>
          <w:sz w:val="22"/>
          <w:szCs w:val="22"/>
        </w:rPr>
      </w:pPr>
      <w:r>
        <w:rPr>
          <w:sz w:val="22"/>
        </w:rPr>
        <w:t>Em quais níveis de governo o 7-1-7 pode ser útil para aplicar neste surto (por exemplo, nível nacional, subnacional, múltiplas áreas subnacionais) e por quê?</w:t>
      </w:r>
    </w:p>
    <w:p w14:paraId="13B7CDAF" w14:textId="5621E45F" w:rsidR="00EB4988" w:rsidRPr="009A528F" w:rsidRDefault="00EB4988" w:rsidP="00EB4988">
      <w:pPr>
        <w:pStyle w:val="BodyText"/>
        <w:numPr>
          <w:ilvl w:val="1"/>
          <w:numId w:val="47"/>
        </w:numPr>
        <w:spacing w:after="0" w:line="240" w:lineRule="auto"/>
        <w:rPr>
          <w:sz w:val="22"/>
          <w:szCs w:val="22"/>
        </w:rPr>
      </w:pPr>
      <w:r>
        <w:rPr>
          <w:sz w:val="22"/>
        </w:rPr>
        <w:t>Como as descobertas do 7-1-7 sobre esse surto podem ser usadas para informar ações e planejamento?</w:t>
      </w:r>
    </w:p>
    <w:p w14:paraId="63B5FAA6" w14:textId="08FFB161" w:rsidR="00107852" w:rsidRPr="00107852" w:rsidRDefault="22A5E2C5" w:rsidP="5C552852">
      <w:pPr>
        <w:pStyle w:val="BodyText"/>
        <w:numPr>
          <w:ilvl w:val="0"/>
          <w:numId w:val="46"/>
        </w:numPr>
        <w:spacing w:after="0" w:line="240" w:lineRule="auto"/>
        <w:rPr>
          <w:sz w:val="22"/>
          <w:szCs w:val="22"/>
        </w:rPr>
      </w:pPr>
      <w:r>
        <w:rPr>
          <w:sz w:val="22"/>
        </w:rPr>
        <w:t>Usem sua imaginação e/ou experiência para responder se o artigo não tiver informações suficientes.</w:t>
      </w:r>
    </w:p>
    <w:p w14:paraId="2319B1D0" w14:textId="737558CF" w:rsidR="00107852" w:rsidRPr="00107852" w:rsidRDefault="00EB4988" w:rsidP="00107852">
      <w:pPr>
        <w:pStyle w:val="BodyText"/>
        <w:numPr>
          <w:ilvl w:val="0"/>
          <w:numId w:val="46"/>
        </w:numPr>
        <w:spacing w:line="240" w:lineRule="auto"/>
        <w:rPr>
          <w:sz w:val="22"/>
          <w:szCs w:val="22"/>
        </w:rPr>
      </w:pPr>
      <w:r>
        <w:rPr>
          <w:sz w:val="22"/>
        </w:rPr>
        <w:t xml:space="preserve">Em plenário, </w:t>
      </w:r>
      <w:r>
        <w:rPr>
          <w:b/>
          <w:sz w:val="22"/>
        </w:rPr>
        <w:t xml:space="preserve">resuma </w:t>
      </w:r>
      <w:r>
        <w:rPr>
          <w:sz w:val="22"/>
        </w:rPr>
        <w:t>brevemente o artigo e sua discussão.</w:t>
      </w:r>
    </w:p>
    <w:p w14:paraId="73A03FEC" w14:textId="45FE0B1E" w:rsidR="0026325B" w:rsidRPr="009A528F" w:rsidRDefault="00EB4988" w:rsidP="0026325B">
      <w:pPr>
        <w:pStyle w:val="Heading3"/>
      </w:pPr>
      <w:r>
        <w:t>Artigo de notícias nº 1</w:t>
      </w:r>
    </w:p>
    <w:p w14:paraId="03C80CFF" w14:textId="1DB65CF2" w:rsidR="006F57C1" w:rsidRPr="009A528F" w:rsidRDefault="00EB4988" w:rsidP="00EB4988">
      <w:pPr>
        <w:rPr>
          <w:rFonts w:ascii="Arial" w:hAnsi="Arial" w:cs="Arial"/>
          <w:b/>
          <w:bCs/>
          <w:color w:val="3BB041" w:themeColor="accent1"/>
        </w:rPr>
      </w:pPr>
      <w:r>
        <w:rPr>
          <w:rFonts w:ascii="Arial" w:hAnsi="Arial"/>
          <w:b/>
          <w:color w:val="3BB041" w:themeColor="accent1"/>
        </w:rPr>
        <w:t>Ministério da Saúde em alerta máximo com aumento de casos de malária e registro de nove mortes</w:t>
      </w:r>
    </w:p>
    <w:p w14:paraId="1F0B5AB6" w14:textId="5DC55AD3" w:rsidR="00EB4988" w:rsidRPr="009A528F" w:rsidRDefault="009A528F" w:rsidP="009A528F">
      <w:pPr>
        <w:rPr>
          <w:rFonts w:ascii="Arial" w:eastAsiaTheme="minorHAnsi" w:hAnsi="Arial" w:cs="Arial"/>
        </w:rPr>
      </w:pPr>
      <w:r>
        <w:rPr>
          <w:rFonts w:ascii="Arial" w:hAnsi="Arial"/>
        </w:rPr>
        <w:t>The Namibian | Por Shania Lazarus | 24 de dezembro de 2024</w:t>
      </w:r>
    </w:p>
    <w:p w14:paraId="3DAB28B2" w14:textId="77777777" w:rsidR="00EB4988" w:rsidRPr="009A528F" w:rsidRDefault="00EB4988" w:rsidP="00EB4988">
      <w:pPr>
        <w:widowControl/>
        <w:adjustRightInd w:val="0"/>
        <w:rPr>
          <w:rFonts w:ascii="Arial" w:eastAsiaTheme="minorHAnsi" w:hAnsi="Arial" w:cs="Arial"/>
          <w:b/>
          <w:bCs/>
        </w:rPr>
      </w:pPr>
    </w:p>
    <w:p w14:paraId="13211429" w14:textId="526343A3" w:rsidR="00EB4988" w:rsidRPr="009A528F" w:rsidRDefault="00EB4988" w:rsidP="45FCE0E2">
      <w:pPr>
        <w:widowControl/>
        <w:adjustRightInd w:val="0"/>
        <w:rPr>
          <w:rFonts w:ascii="Arial" w:eastAsiaTheme="minorEastAsia" w:hAnsi="Arial" w:cs="Arial"/>
          <w:i/>
          <w:iCs/>
        </w:rPr>
      </w:pPr>
      <w:r>
        <w:rPr>
          <w:rFonts w:ascii="Arial" w:hAnsi="Arial"/>
          <w:i/>
        </w:rPr>
        <w:t>A Namíbia registrou 2.210 casos de malária em todo o país até 15 de dezembro, incluindo nove mortes como resultado da estação chuvosa. O Ministério da Saúde e Serviços Sociais alertou para um aumento no número de casos até abril, quando termina a estação chuvosa. O ministério anunciou na semana passada que a maioria dos casos foi registrada na região norte do país.</w:t>
      </w:r>
    </w:p>
    <w:p w14:paraId="19951C20" w14:textId="38771F1A" w:rsidR="00EB4988" w:rsidRPr="009A528F" w:rsidRDefault="00EB4988" w:rsidP="45FCE0E2">
      <w:pPr>
        <w:widowControl/>
        <w:adjustRightInd w:val="0"/>
        <w:rPr>
          <w:rFonts w:ascii="Arial" w:eastAsiaTheme="minorEastAsia" w:hAnsi="Arial" w:cs="Arial"/>
          <w:i/>
          <w:iCs/>
        </w:rPr>
      </w:pPr>
    </w:p>
    <w:p w14:paraId="1C7A2E4A" w14:textId="55BAB323" w:rsidR="00EB4988" w:rsidRDefault="00EB4988" w:rsidP="45FCE0E2">
      <w:pPr>
        <w:widowControl/>
        <w:adjustRightInd w:val="0"/>
        <w:rPr>
          <w:rFonts w:ascii="Arial" w:eastAsiaTheme="minorEastAsia" w:hAnsi="Arial" w:cs="Arial"/>
          <w:i/>
          <w:iCs/>
        </w:rPr>
      </w:pPr>
      <w:r>
        <w:rPr>
          <w:rFonts w:ascii="Arial" w:hAnsi="Arial"/>
          <w:i/>
        </w:rPr>
        <w:t>“A maioria dos casos foi relatada no distrito de Eenhana (com 661 casos), representando 30%, seguido por Okongo (com 336 casos), representando 15% do total de casos”, disse o diretor executivo do Ministério da Saúde, Ben Nangombe, em um comunicado. Os distritos afetados incluem Eenhana, Okongo, Outapi, Engela, Nkurenkuru,Oshikuku, Omuthiya, Oshakati, Onandjokwe, Tsumeb, Rundu, Okahao, Tsandi, Ncamagoro, Nyangana and Andara.</w:t>
      </w:r>
    </w:p>
    <w:p w14:paraId="55B43D38" w14:textId="77777777" w:rsidR="009A528F" w:rsidRPr="009A528F" w:rsidRDefault="009A528F" w:rsidP="45FCE0E2">
      <w:pPr>
        <w:widowControl/>
        <w:adjustRightInd w:val="0"/>
        <w:rPr>
          <w:rFonts w:ascii="Arial" w:eastAsiaTheme="minorEastAsia" w:hAnsi="Arial" w:cs="Arial"/>
          <w:i/>
          <w:iCs/>
        </w:rPr>
      </w:pPr>
    </w:p>
    <w:p w14:paraId="551E9293" w14:textId="5A5B26AF" w:rsidR="00EB4988" w:rsidRPr="009A528F" w:rsidRDefault="00EB4988" w:rsidP="45FCE0E2">
      <w:pPr>
        <w:widowControl/>
        <w:adjustRightInd w:val="0"/>
        <w:rPr>
          <w:rFonts w:ascii="Arial" w:eastAsiaTheme="minorEastAsia" w:hAnsi="Arial" w:cs="Arial"/>
          <w:i/>
          <w:iCs/>
        </w:rPr>
      </w:pPr>
      <w:r>
        <w:rPr>
          <w:rFonts w:ascii="Arial" w:hAnsi="Arial"/>
          <w:i/>
        </w:rPr>
        <w:t>“Pelo menos 16 distritos endêmicos de malária ultrapassaram o limite epidêmico e estão enfrentando surtos”, diz Nangombe. Nangombe acrescenta que os casos devem aumentar devido à</w:t>
      </w:r>
      <w:r w:rsidR="008D7E59">
        <w:rPr>
          <w:rFonts w:ascii="Arial" w:hAnsi="Arial"/>
          <w:i/>
        </w:rPr>
        <w:t> </w:t>
      </w:r>
      <w:r>
        <w:rPr>
          <w:rFonts w:ascii="Arial" w:hAnsi="Arial"/>
          <w:i/>
        </w:rPr>
        <w:t>estação chuvosa. “O ministério, portanto, apela a todos os namibianos e viajantes para as regiões norte e nordeste do país que tomem todas as precauções necessárias para prevenir infecções de malária”, diz ele.</w:t>
      </w:r>
    </w:p>
    <w:p w14:paraId="6B98B6B2" w14:textId="266B1D7E" w:rsidR="00EB4988" w:rsidRPr="009A528F" w:rsidRDefault="00EB4988" w:rsidP="009A528F">
      <w:pPr>
        <w:widowControl/>
        <w:adjustRightInd w:val="0"/>
        <w:rPr>
          <w:rFonts w:ascii="Arial" w:hAnsi="Arial" w:cs="Arial"/>
        </w:rPr>
      </w:pPr>
      <w:r>
        <w:rPr>
          <w:rFonts w:ascii="Arial" w:hAnsi="Arial"/>
        </w:rPr>
        <w:t> </w:t>
      </w:r>
    </w:p>
    <w:p w14:paraId="5BF20006" w14:textId="1C92E76C" w:rsidR="00EB4988" w:rsidRPr="009A528F" w:rsidRDefault="748C5E53" w:rsidP="45FCE0E2">
      <w:pPr>
        <w:widowControl/>
        <w:rPr>
          <w:rFonts w:ascii="Arial" w:eastAsiaTheme="minorEastAsia" w:hAnsi="Arial" w:cs="Arial"/>
          <w:b/>
          <w:bCs/>
          <w:i/>
          <w:iCs/>
        </w:rPr>
      </w:pPr>
      <w:r>
        <w:rPr>
          <w:rFonts w:ascii="Arial" w:hAnsi="Arial"/>
        </w:rPr>
        <w:t xml:space="preserve">O artigo original pode ser acessado em: </w:t>
      </w:r>
      <w:hyperlink r:id="rId11">
        <w:r>
          <w:rPr>
            <w:rStyle w:val="Hyperlink"/>
            <w:rFonts w:ascii="Arial" w:hAnsi="Arial"/>
          </w:rPr>
          <w:t>https://www.namibian.com.na/health-ministry-on-high-alert-as-malaria-cases-increase-nine-deaths-recorded/</w:t>
        </w:r>
      </w:hyperlink>
      <w:r>
        <w:rPr>
          <w:rFonts w:ascii="Arial" w:hAnsi="Arial"/>
        </w:rPr>
        <w:t xml:space="preserve"> </w:t>
      </w:r>
    </w:p>
    <w:p w14:paraId="5218701F" w14:textId="77777777" w:rsidR="00EB4988" w:rsidRPr="009A528F" w:rsidRDefault="00EB4988" w:rsidP="00EB4988">
      <w:pPr>
        <w:rPr>
          <w:rFonts w:ascii="Arial" w:hAnsi="Arial" w:cs="Arial"/>
        </w:rPr>
      </w:pPr>
    </w:p>
    <w:p w14:paraId="2C93FEBF" w14:textId="252F5465" w:rsidR="202E47E4" w:rsidRDefault="202E47E4" w:rsidP="202E47E4">
      <w:pPr>
        <w:pStyle w:val="Heading3"/>
      </w:pPr>
    </w:p>
    <w:p w14:paraId="437F824B" w14:textId="5FF4CA04" w:rsidR="00077B09" w:rsidRDefault="00077B09">
      <w:pPr>
        <w:rPr>
          <w:rFonts w:ascii="Arial" w:hAnsi="Arial" w:cs="Arial"/>
          <w:b/>
          <w:color w:val="618393" w:themeColor="text2"/>
          <w:sz w:val="24"/>
          <w:szCs w:val="18"/>
        </w:rPr>
      </w:pPr>
      <w:r>
        <w:br w:type="page"/>
      </w:r>
    </w:p>
    <w:p w14:paraId="5A22654C" w14:textId="5B1511C9" w:rsidR="009A528F" w:rsidRPr="009A528F" w:rsidRDefault="009A528F" w:rsidP="009A528F">
      <w:pPr>
        <w:pStyle w:val="Heading3"/>
      </w:pPr>
      <w:r>
        <w:lastRenderedPageBreak/>
        <w:t>Artigo de notícias nº 2</w:t>
      </w:r>
    </w:p>
    <w:p w14:paraId="74950A9E" w14:textId="565F1EC7" w:rsidR="009A528F" w:rsidRPr="009A528F" w:rsidRDefault="00695ED2" w:rsidP="009A528F">
      <w:pPr>
        <w:rPr>
          <w:rFonts w:ascii="Arial" w:hAnsi="Arial" w:cs="Arial"/>
          <w:b/>
          <w:bCs/>
          <w:color w:val="3BB041" w:themeColor="accent1"/>
        </w:rPr>
      </w:pPr>
      <w:r>
        <w:rPr>
          <w:rFonts w:ascii="Arial" w:hAnsi="Arial"/>
          <w:b/>
          <w:color w:val="3BB041" w:themeColor="accent1"/>
        </w:rPr>
        <w:t>Namíbia regista cerca de 6.000 casos de malária e 28 mortes desde dezembro</w:t>
      </w:r>
    </w:p>
    <w:p w14:paraId="14C552D3" w14:textId="083921F4" w:rsidR="009A528F" w:rsidRPr="00695ED2" w:rsidRDefault="009A528F" w:rsidP="009A528F">
      <w:pPr>
        <w:rPr>
          <w:rFonts w:ascii="Arial" w:eastAsiaTheme="minorHAnsi" w:hAnsi="Arial" w:cs="Arial"/>
        </w:rPr>
      </w:pPr>
      <w:r>
        <w:rPr>
          <w:rFonts w:ascii="Arial" w:hAnsi="Arial"/>
        </w:rPr>
        <w:t>The Namibian | Por Namibia Press Agency | 25 de janeiro de 2025</w:t>
      </w:r>
    </w:p>
    <w:p w14:paraId="7107330E" w14:textId="77777777" w:rsidR="009A528F" w:rsidRPr="00695ED2" w:rsidRDefault="009A528F" w:rsidP="009A528F">
      <w:pPr>
        <w:widowControl/>
        <w:adjustRightInd w:val="0"/>
        <w:rPr>
          <w:rFonts w:ascii="Arial" w:eastAsiaTheme="minorHAnsi" w:hAnsi="Arial" w:cs="Arial"/>
          <w:b/>
          <w:bCs/>
        </w:rPr>
      </w:pPr>
    </w:p>
    <w:p w14:paraId="5A76D030" w14:textId="241E7C52" w:rsidR="00695ED2" w:rsidRPr="00695ED2" w:rsidRDefault="03C1A09B" w:rsidP="45FCE0E2">
      <w:pPr>
        <w:widowControl/>
        <w:adjustRightInd w:val="0"/>
        <w:rPr>
          <w:rFonts w:ascii="Arial" w:eastAsiaTheme="minorEastAsia" w:hAnsi="Arial" w:cs="Arial"/>
          <w:i/>
          <w:iCs/>
        </w:rPr>
      </w:pPr>
      <w:r>
        <w:rPr>
          <w:rFonts w:ascii="Arial" w:hAnsi="Arial"/>
          <w:i/>
        </w:rPr>
        <w:t>A Namíbia está lutando contra um surto de malária que resultou em quase 6.000 casos, incluindo centenas de hospitalizações e várias mortes. O Ministério da Saúde e Serviços Sociais afirma ter registrado 5.898 casos de malária, incluindo 840 internações hospitalares e 28 mortes, entre dezembro de 2024 e 19 de janeiro de 2025. Desse total, 3.493 casos foram transmitidos localmente e 2.496 foram importados, disse o diretor executivo de saúde e serviços sociais, Ben Nangombe, em uma entrevista coletiva na sexta-feira.</w:t>
      </w:r>
    </w:p>
    <w:p w14:paraId="1A80CEBF" w14:textId="28330B65" w:rsidR="5F736A75" w:rsidRDefault="5F736A75" w:rsidP="45FCE0E2">
      <w:pPr>
        <w:widowControl/>
        <w:rPr>
          <w:rFonts w:ascii="Arial" w:eastAsiaTheme="minorEastAsia" w:hAnsi="Arial" w:cs="Arial"/>
          <w:i/>
          <w:iCs/>
        </w:rPr>
      </w:pPr>
    </w:p>
    <w:p w14:paraId="4525CAA0" w14:textId="6B612756" w:rsidR="00695ED2" w:rsidRPr="00695ED2" w:rsidRDefault="00695ED2" w:rsidP="45FCE0E2">
      <w:pPr>
        <w:widowControl/>
        <w:adjustRightInd w:val="0"/>
        <w:rPr>
          <w:rFonts w:ascii="Arial" w:eastAsiaTheme="minorEastAsia" w:hAnsi="Arial" w:cs="Arial"/>
          <w:i/>
          <w:iCs/>
        </w:rPr>
      </w:pPr>
      <w:r>
        <w:rPr>
          <w:rFonts w:ascii="Arial" w:hAnsi="Arial"/>
          <w:i/>
        </w:rPr>
        <w:t>Ele disse que a Namíbia geralmente experimenta picos sazonais de transmissão da malária em dezembro, que duram até o final de abril. Nangome disse que 20 dos 26 distritos endêmicos de malária ultrapassaram o limite epidêmico e estão atualmente enfrentando surtos.</w:t>
      </w:r>
    </w:p>
    <w:p w14:paraId="6A1C81AF" w14:textId="77777777" w:rsidR="00695ED2" w:rsidRPr="00695ED2" w:rsidRDefault="00695ED2" w:rsidP="45FCE0E2">
      <w:pPr>
        <w:widowControl/>
        <w:adjustRightInd w:val="0"/>
        <w:rPr>
          <w:rFonts w:ascii="Arial" w:eastAsiaTheme="minorEastAsia" w:hAnsi="Arial" w:cs="Arial"/>
          <w:i/>
          <w:iCs/>
        </w:rPr>
      </w:pPr>
    </w:p>
    <w:p w14:paraId="55DB2388" w14:textId="77777777" w:rsidR="00695ED2" w:rsidRPr="00695ED2" w:rsidRDefault="00695ED2" w:rsidP="45FCE0E2">
      <w:pPr>
        <w:widowControl/>
        <w:adjustRightInd w:val="0"/>
        <w:rPr>
          <w:rFonts w:ascii="Arial" w:eastAsiaTheme="minorEastAsia" w:hAnsi="Arial" w:cs="Arial"/>
          <w:i/>
          <w:iCs/>
        </w:rPr>
      </w:pPr>
      <w:r>
        <w:rPr>
          <w:rFonts w:ascii="Arial" w:hAnsi="Arial"/>
          <w:i/>
        </w:rPr>
        <w:t>Os distritos mais afetados incluem Eenhana, na região de Ohangwena, que registrou 24% do número total de casos, Okongo (na região de Ohangwena), com 13%, Engela (na região de Ohangwena), com 13%, Nkurenkuru, na região de Kavango West, com 12%, e Outapi, na região de Omusati, que registrou 10% do total de casos.</w:t>
      </w:r>
    </w:p>
    <w:p w14:paraId="61FAEA71" w14:textId="77777777" w:rsidR="00695ED2" w:rsidRPr="00695ED2" w:rsidRDefault="00695ED2" w:rsidP="45FCE0E2">
      <w:pPr>
        <w:widowControl/>
        <w:adjustRightInd w:val="0"/>
        <w:rPr>
          <w:rFonts w:ascii="Arial" w:eastAsiaTheme="minorEastAsia" w:hAnsi="Arial" w:cs="Arial"/>
          <w:i/>
          <w:iCs/>
        </w:rPr>
      </w:pPr>
    </w:p>
    <w:p w14:paraId="346885B5" w14:textId="26F81606" w:rsidR="00695ED2" w:rsidRPr="00695ED2" w:rsidRDefault="00695ED2" w:rsidP="45FCE0E2">
      <w:pPr>
        <w:widowControl/>
        <w:adjustRightInd w:val="0"/>
        <w:rPr>
          <w:rFonts w:ascii="Arial" w:eastAsiaTheme="minorEastAsia" w:hAnsi="Arial" w:cs="Arial"/>
          <w:i/>
          <w:iCs/>
        </w:rPr>
      </w:pPr>
      <w:r>
        <w:rPr>
          <w:rFonts w:ascii="Arial" w:hAnsi="Arial"/>
          <w:i/>
        </w:rPr>
        <w:t>Mais da metade da população da Namíbia vive em áreas endêmicas de malária, particularmente nas comunidades rurais. Alguns grupos, comunidades ou dados demográficos são considerados de maior risco de desenvolver malária complicada devido ao acesso tardio aos serviços de saúde”, disse Nangombe. Para lidar com o surto, o ministério ativou mecanismos de resposta a emergências, incluindo controle intensificado da transmissão, vigilância aprimorada, comunicação de risco, envolvimento da comunidade e colaboração transfronteiriça.</w:t>
      </w:r>
    </w:p>
    <w:p w14:paraId="20F04164" w14:textId="77777777" w:rsidR="00695ED2" w:rsidRPr="00695ED2" w:rsidRDefault="00695ED2" w:rsidP="45FCE0E2">
      <w:pPr>
        <w:widowControl/>
        <w:adjustRightInd w:val="0"/>
        <w:rPr>
          <w:rFonts w:ascii="Arial" w:eastAsiaTheme="minorEastAsia" w:hAnsi="Arial" w:cs="Arial"/>
          <w:i/>
          <w:iCs/>
        </w:rPr>
      </w:pPr>
    </w:p>
    <w:p w14:paraId="4A6B58BF" w14:textId="5CD64DEF" w:rsidR="00695ED2" w:rsidRPr="00695ED2" w:rsidRDefault="00695ED2" w:rsidP="45FCE0E2">
      <w:pPr>
        <w:widowControl/>
        <w:adjustRightInd w:val="0"/>
        <w:rPr>
          <w:rFonts w:ascii="Arial" w:eastAsiaTheme="minorEastAsia" w:hAnsi="Arial" w:cs="Arial"/>
          <w:i/>
          <w:iCs/>
        </w:rPr>
      </w:pPr>
      <w:r>
        <w:rPr>
          <w:rFonts w:ascii="Arial" w:hAnsi="Arial"/>
          <w:i/>
        </w:rPr>
        <w:t>“Apelamos a todos os namibianos e viajantes para regiões endêmicas de malária que tomem todas as precauções necessárias para prevenir infecções de malária”, disse Nangombe. Ele pediu que aqueles em tratamento contra malária completem o tratamento mesmo que os sintomas pareçam desaparecer, e alertou contra o compartilhamento de medicamentos. Os sintomas da malária incluem febre, dor de cabeça, dores musculares ou articulares, calafrios, suor, fadiga, náusea e</w:t>
      </w:r>
      <w:r w:rsidR="002B3043">
        <w:rPr>
          <w:rFonts w:ascii="Arial" w:hAnsi="Arial"/>
          <w:i/>
        </w:rPr>
        <w:t> </w:t>
      </w:r>
      <w:r>
        <w:rPr>
          <w:rFonts w:ascii="Arial" w:hAnsi="Arial"/>
          <w:i/>
        </w:rPr>
        <w:t>vômito.</w:t>
      </w:r>
    </w:p>
    <w:p w14:paraId="74EFABAC" w14:textId="77777777" w:rsidR="00695ED2" w:rsidRPr="00695ED2" w:rsidRDefault="00695ED2" w:rsidP="009A528F">
      <w:pPr>
        <w:widowControl/>
        <w:adjustRightInd w:val="0"/>
        <w:rPr>
          <w:rFonts w:ascii="Arial" w:eastAsiaTheme="minorHAnsi" w:hAnsi="Arial" w:cs="Arial"/>
          <w:b/>
          <w:bCs/>
          <w:i/>
          <w:iCs/>
        </w:rPr>
      </w:pPr>
    </w:p>
    <w:p w14:paraId="0763BECB" w14:textId="0C439536" w:rsidR="00695ED2" w:rsidRPr="00695ED2" w:rsidRDefault="069DBD89" w:rsidP="45FCE0E2">
      <w:pPr>
        <w:widowControl/>
        <w:adjustRightInd w:val="0"/>
        <w:rPr>
          <w:rFonts w:ascii="Arial" w:eastAsiaTheme="minorEastAsia" w:hAnsi="Arial" w:cs="Arial"/>
        </w:rPr>
      </w:pPr>
      <w:r>
        <w:rPr>
          <w:rFonts w:ascii="Arial" w:hAnsi="Arial"/>
        </w:rPr>
        <w:t xml:space="preserve">O artigo original pode ser acessado em: </w:t>
      </w:r>
      <w:hyperlink r:id="rId12">
        <w:r>
          <w:rPr>
            <w:rStyle w:val="Hyperlink"/>
            <w:rFonts w:ascii="Arial" w:hAnsi="Arial"/>
          </w:rPr>
          <w:t>https://www.namibian.com.na/namibia-records-about-6-000-malaria-cases-28-deaths-since-december/</w:t>
        </w:r>
      </w:hyperlink>
      <w:r>
        <w:rPr>
          <w:rFonts w:ascii="Arial" w:hAnsi="Arial"/>
        </w:rPr>
        <w:t xml:space="preserve"> </w:t>
      </w:r>
    </w:p>
    <w:p w14:paraId="19A4446E" w14:textId="189B1D48" w:rsidR="00EB4988" w:rsidRPr="00695ED2" w:rsidRDefault="00EB4988" w:rsidP="00695ED2">
      <w:pPr>
        <w:widowControl/>
        <w:adjustRightInd w:val="0"/>
        <w:rPr>
          <w:rFonts w:ascii="Arial" w:hAnsi="Arial" w:cs="Arial"/>
          <w:i/>
          <w:iCs/>
        </w:rPr>
      </w:pPr>
    </w:p>
    <w:p w14:paraId="1328222D" w14:textId="414381BF" w:rsidR="003518DB" w:rsidRPr="00695ED2" w:rsidRDefault="003518DB" w:rsidP="0026325B">
      <w:pPr>
        <w:rPr>
          <w:rFonts w:ascii="Arial" w:hAnsi="Arial" w:cs="Arial"/>
          <w:i/>
          <w:iCs/>
        </w:rPr>
      </w:pPr>
    </w:p>
    <w:sectPr w:rsidR="003518DB" w:rsidRPr="00695ED2" w:rsidSect="0021781B">
      <w:headerReference w:type="default" r:id="rId13"/>
      <w:footerReference w:type="default" r:id="rId14"/>
      <w:headerReference w:type="first" r:id="rId15"/>
      <w:footerReference w:type="first" r:id="rId16"/>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B5D18" w14:textId="77777777" w:rsidR="00DC079A" w:rsidRDefault="00DC079A">
      <w:r>
        <w:separator/>
      </w:r>
    </w:p>
  </w:endnote>
  <w:endnote w:type="continuationSeparator" w:id="0">
    <w:p w14:paraId="5A203661" w14:textId="77777777" w:rsidR="00DC079A" w:rsidRDefault="00DC079A">
      <w:r>
        <w:continuationSeparator/>
      </w:r>
    </w:p>
  </w:endnote>
  <w:endnote w:type="continuationNotice" w:id="1">
    <w:p w14:paraId="5C5B513A" w14:textId="77777777" w:rsidR="00DC079A" w:rsidRDefault="00DC0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ublicSans-Thin">
    <w:altName w:val="Calibri"/>
    <w:panose1 w:val="00000000000000000000"/>
    <w:charset w:val="4D"/>
    <w:family w:val="auto"/>
    <w:notTrueType/>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Condensed-SemiBold">
    <w:altName w:val="Calibri"/>
    <w:charset w:val="4D"/>
    <w:family w:val="auto"/>
    <w:pitch w:val="variable"/>
    <w:sig w:usb0="20000007" w:usb1="00000000" w:usb2="00000000" w:usb3="00000000" w:csb0="0000019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A76EC" w14:textId="5F5EB451" w:rsidR="202E47E4" w:rsidRDefault="202E47E4" w:rsidP="202E47E4">
    <w:pPr>
      <w:pStyle w:val="Footer"/>
      <w:jc w:val="right"/>
    </w:pPr>
    <w:r>
      <w:fldChar w:fldCharType="begin"/>
    </w:r>
    <w:r>
      <w:instrText>PAGE</w:instrText>
    </w:r>
    <w:r>
      <w:fldChar w:fldCharType="separate"/>
    </w:r>
    <w:r w:rsidR="008D7E59">
      <w:rPr>
        <w:noProof/>
      </w:rPr>
      <w:t>2</w:t>
    </w:r>
    <w:r>
      <w:fldChar w:fldCharType="end"/>
    </w:r>
  </w:p>
  <w:p w14:paraId="7BA6D3C5" w14:textId="47CAD7DF" w:rsidR="008F1ABC" w:rsidRDefault="00433B5C" w:rsidP="00433B5C">
    <w:pPr>
      <w:pStyle w:val="BodyText"/>
      <w:tabs>
        <w:tab w:val="right" w:pos="9414"/>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jc w:val="right"/>
      <w:rPr>
        <w:sz w:val="13"/>
        <w:szCs w:val="13"/>
      </w:rPr>
    </w:pPr>
    <w:r>
      <w:rPr>
        <w:sz w:val="13"/>
      </w:rPr>
      <w:t>Secretaria do Programa</w:t>
    </w:r>
  </w:p>
  <w:p w14:paraId="39C8CB47" w14:textId="3B6A214E" w:rsidR="007416C9" w:rsidRDefault="007416C9" w:rsidP="007416C9">
    <w:pPr>
      <w:pStyle w:val="Footer"/>
      <w:jc w:val="right"/>
    </w:pPr>
    <w:r>
      <w:rPr>
        <w:noProof/>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9579F" w14:textId="77777777" w:rsidR="00DC079A" w:rsidRPr="00086F3A" w:rsidRDefault="00DC079A"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5DB583FE" w14:textId="77777777" w:rsidR="00DC079A" w:rsidRDefault="00DC079A">
      <w:r>
        <w:continuationSeparator/>
      </w:r>
    </w:p>
  </w:footnote>
  <w:footnote w:type="continuationNotice" w:id="1">
    <w:p w14:paraId="6149FBE2" w14:textId="77777777" w:rsidR="00DC079A" w:rsidRDefault="00DC07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6EFA990A" w:rsidR="00F27AC5" w:rsidRPr="00415E72" w:rsidRDefault="00EB4988" w:rsidP="009948C7">
    <w:pPr>
      <w:spacing w:before="20"/>
      <w:rPr>
        <w:rFonts w:ascii="Arial" w:hAnsi="Arial" w:cs="Arial"/>
        <w:b/>
        <w:color w:val="3BB041" w:themeColor="accent1"/>
        <w:sz w:val="15"/>
        <w:szCs w:val="15"/>
      </w:rPr>
    </w:pPr>
    <w:r>
      <w:rPr>
        <w:rFonts w:ascii="Arial" w:hAnsi="Arial"/>
        <w:b/>
        <w:color w:val="3BB041" w:themeColor="accent1"/>
        <w:sz w:val="15"/>
      </w:rPr>
      <w:t>Atividade: 7-1-7 e surtos no noticiário</w:t>
    </w:r>
  </w:p>
  <w:p w14:paraId="7287AC93" w14:textId="59F48687" w:rsidR="005E70AC" w:rsidRPr="00276714" w:rsidRDefault="005E70AC" w:rsidP="009948C7">
    <w:pPr>
      <w:spacing w:before="20"/>
      <w:rPr>
        <w:b/>
        <w:sz w:val="18"/>
      </w:rPr>
    </w:pPr>
    <w:r>
      <w:rPr>
        <w:noProof/>
      </w:rPr>
      <mc:AlternateContent>
        <mc:Choice Requires="wps">
          <w:drawing>
            <wp:anchor distT="0" distB="0" distL="114300" distR="114300" simplePos="0" relativeHeight="251658240"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rPr>
        <w:rStyle w:val="Heading7Char"/>
      </w:rPr>
    </w:pPr>
    <w:r>
      <w:rPr>
        <w:noProof/>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tab/>
    </w:r>
    <w: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pPr>
    <w:r>
      <w:rPr>
        <w:noProof/>
      </w:rPr>
      <mc:AlternateContent>
        <mc:Choice Requires="wps">
          <w:drawing>
            <wp:anchor distT="0" distB="0" distL="114300" distR="114300" simplePos="0" relativeHeight="251658241"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xmlns:arto="http://schemas.microsoft.com/office/word/2006/arto">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1"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2"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4"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5"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6"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7"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8"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1"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2"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3"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4"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6"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8"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9"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0"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1"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2"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3"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4"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25"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26" w15:restartNumberingAfterBreak="0">
    <w:nsid w:val="5A786438"/>
    <w:multiLevelType w:val="hybridMultilevel"/>
    <w:tmpl w:val="ED5478EE"/>
    <w:lvl w:ilvl="0" w:tplc="C8223624">
      <w:start w:val="1"/>
      <w:numFmt w:val="bullet"/>
      <w:lvlText w:val="•"/>
      <w:lvlJc w:val="left"/>
      <w:pPr>
        <w:tabs>
          <w:tab w:val="num" w:pos="720"/>
        </w:tabs>
        <w:ind w:left="720" w:hanging="360"/>
      </w:pPr>
      <w:rPr>
        <w:rFonts w:ascii="Arial" w:hAnsi="Arial" w:hint="default"/>
      </w:rPr>
    </w:lvl>
    <w:lvl w:ilvl="1" w:tplc="593CBED2">
      <w:start w:val="66"/>
      <w:numFmt w:val="bullet"/>
      <w:lvlText w:val="o"/>
      <w:lvlJc w:val="left"/>
      <w:pPr>
        <w:tabs>
          <w:tab w:val="num" w:pos="1440"/>
        </w:tabs>
        <w:ind w:left="1440" w:hanging="360"/>
      </w:pPr>
      <w:rPr>
        <w:rFonts w:ascii="Courier New" w:hAnsi="Courier New" w:hint="default"/>
      </w:rPr>
    </w:lvl>
    <w:lvl w:ilvl="2" w:tplc="F8BE1DDA" w:tentative="1">
      <w:start w:val="1"/>
      <w:numFmt w:val="bullet"/>
      <w:lvlText w:val="•"/>
      <w:lvlJc w:val="left"/>
      <w:pPr>
        <w:tabs>
          <w:tab w:val="num" w:pos="2160"/>
        </w:tabs>
        <w:ind w:left="2160" w:hanging="360"/>
      </w:pPr>
      <w:rPr>
        <w:rFonts w:ascii="Arial" w:hAnsi="Arial" w:hint="default"/>
      </w:rPr>
    </w:lvl>
    <w:lvl w:ilvl="3" w:tplc="B18CE65E" w:tentative="1">
      <w:start w:val="1"/>
      <w:numFmt w:val="bullet"/>
      <w:lvlText w:val="•"/>
      <w:lvlJc w:val="left"/>
      <w:pPr>
        <w:tabs>
          <w:tab w:val="num" w:pos="2880"/>
        </w:tabs>
        <w:ind w:left="2880" w:hanging="360"/>
      </w:pPr>
      <w:rPr>
        <w:rFonts w:ascii="Arial" w:hAnsi="Arial" w:hint="default"/>
      </w:rPr>
    </w:lvl>
    <w:lvl w:ilvl="4" w:tplc="222068BC" w:tentative="1">
      <w:start w:val="1"/>
      <w:numFmt w:val="bullet"/>
      <w:lvlText w:val="•"/>
      <w:lvlJc w:val="left"/>
      <w:pPr>
        <w:tabs>
          <w:tab w:val="num" w:pos="3600"/>
        </w:tabs>
        <w:ind w:left="3600" w:hanging="360"/>
      </w:pPr>
      <w:rPr>
        <w:rFonts w:ascii="Arial" w:hAnsi="Arial" w:hint="default"/>
      </w:rPr>
    </w:lvl>
    <w:lvl w:ilvl="5" w:tplc="5D4EE404" w:tentative="1">
      <w:start w:val="1"/>
      <w:numFmt w:val="bullet"/>
      <w:lvlText w:val="•"/>
      <w:lvlJc w:val="left"/>
      <w:pPr>
        <w:tabs>
          <w:tab w:val="num" w:pos="4320"/>
        </w:tabs>
        <w:ind w:left="4320" w:hanging="360"/>
      </w:pPr>
      <w:rPr>
        <w:rFonts w:ascii="Arial" w:hAnsi="Arial" w:hint="default"/>
      </w:rPr>
    </w:lvl>
    <w:lvl w:ilvl="6" w:tplc="144AD45C" w:tentative="1">
      <w:start w:val="1"/>
      <w:numFmt w:val="bullet"/>
      <w:lvlText w:val="•"/>
      <w:lvlJc w:val="left"/>
      <w:pPr>
        <w:tabs>
          <w:tab w:val="num" w:pos="5040"/>
        </w:tabs>
        <w:ind w:left="5040" w:hanging="360"/>
      </w:pPr>
      <w:rPr>
        <w:rFonts w:ascii="Arial" w:hAnsi="Arial" w:hint="default"/>
      </w:rPr>
    </w:lvl>
    <w:lvl w:ilvl="7" w:tplc="6BD662E2" w:tentative="1">
      <w:start w:val="1"/>
      <w:numFmt w:val="bullet"/>
      <w:lvlText w:val="•"/>
      <w:lvlJc w:val="left"/>
      <w:pPr>
        <w:tabs>
          <w:tab w:val="num" w:pos="5760"/>
        </w:tabs>
        <w:ind w:left="5760" w:hanging="360"/>
      </w:pPr>
      <w:rPr>
        <w:rFonts w:ascii="Arial" w:hAnsi="Arial" w:hint="default"/>
      </w:rPr>
    </w:lvl>
    <w:lvl w:ilvl="8" w:tplc="F3127F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28"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1"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3"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36"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37"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0"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1"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1"/>
  </w:num>
  <w:num w:numId="2" w16cid:durableId="980501441">
    <w:abstractNumId w:val="22"/>
  </w:num>
  <w:num w:numId="3" w16cid:durableId="1918587412">
    <w:abstractNumId w:val="19"/>
  </w:num>
  <w:num w:numId="4" w16cid:durableId="726535322">
    <w:abstractNumId w:val="1"/>
  </w:num>
  <w:num w:numId="5" w16cid:durableId="198326693">
    <w:abstractNumId w:val="23"/>
  </w:num>
  <w:num w:numId="6" w16cid:durableId="836774964">
    <w:abstractNumId w:val="30"/>
  </w:num>
  <w:num w:numId="7" w16cid:durableId="1849638365">
    <w:abstractNumId w:val="40"/>
  </w:num>
  <w:num w:numId="8" w16cid:durableId="38364128">
    <w:abstractNumId w:val="24"/>
  </w:num>
  <w:num w:numId="9" w16cid:durableId="350298055">
    <w:abstractNumId w:val="4"/>
  </w:num>
  <w:num w:numId="10" w16cid:durableId="780339416">
    <w:abstractNumId w:val="10"/>
  </w:num>
  <w:num w:numId="11" w16cid:durableId="1767769205">
    <w:abstractNumId w:val="20"/>
  </w:num>
  <w:num w:numId="12" w16cid:durableId="974869584">
    <w:abstractNumId w:val="36"/>
  </w:num>
  <w:num w:numId="13" w16cid:durableId="195310959">
    <w:abstractNumId w:val="32"/>
  </w:num>
  <w:num w:numId="14" w16cid:durableId="569385742">
    <w:abstractNumId w:val="5"/>
  </w:num>
  <w:num w:numId="15" w16cid:durableId="2044818288">
    <w:abstractNumId w:val="0"/>
  </w:num>
  <w:num w:numId="16" w16cid:durableId="841621499">
    <w:abstractNumId w:val="21"/>
  </w:num>
  <w:num w:numId="17" w16cid:durableId="202720826">
    <w:abstractNumId w:val="39"/>
  </w:num>
  <w:num w:numId="18" w16cid:durableId="605431108">
    <w:abstractNumId w:val="7"/>
  </w:num>
  <w:num w:numId="19" w16cid:durableId="1928617086">
    <w:abstractNumId w:val="12"/>
  </w:num>
  <w:num w:numId="20" w16cid:durableId="1319730599">
    <w:abstractNumId w:val="35"/>
  </w:num>
  <w:num w:numId="21" w16cid:durableId="2094816373">
    <w:abstractNumId w:val="25"/>
  </w:num>
  <w:num w:numId="22" w16cid:durableId="2090154401">
    <w:abstractNumId w:val="13"/>
  </w:num>
  <w:num w:numId="23" w16cid:durableId="1027754642">
    <w:abstractNumId w:val="17"/>
  </w:num>
  <w:num w:numId="24" w16cid:durableId="181482799">
    <w:abstractNumId w:val="8"/>
  </w:num>
  <w:num w:numId="25" w16cid:durableId="1112288598">
    <w:abstractNumId w:val="2"/>
  </w:num>
  <w:num w:numId="26" w16cid:durableId="883563352">
    <w:abstractNumId w:val="2"/>
    <w:lvlOverride w:ilvl="0">
      <w:startOverride w:val="1"/>
    </w:lvlOverride>
  </w:num>
  <w:num w:numId="27" w16cid:durableId="312685843">
    <w:abstractNumId w:val="2"/>
    <w:lvlOverride w:ilvl="0">
      <w:startOverride w:val="1"/>
    </w:lvlOverride>
  </w:num>
  <w:num w:numId="28" w16cid:durableId="733939610">
    <w:abstractNumId w:val="2"/>
    <w:lvlOverride w:ilvl="0">
      <w:startOverride w:val="1"/>
    </w:lvlOverride>
  </w:num>
  <w:num w:numId="29" w16cid:durableId="762265589">
    <w:abstractNumId w:val="2"/>
    <w:lvlOverride w:ilvl="0">
      <w:startOverride w:val="1"/>
    </w:lvlOverride>
  </w:num>
  <w:num w:numId="30" w16cid:durableId="1578437548">
    <w:abstractNumId w:val="29"/>
  </w:num>
  <w:num w:numId="31" w16cid:durableId="1880125358">
    <w:abstractNumId w:val="9"/>
  </w:num>
  <w:num w:numId="32" w16cid:durableId="1696468453">
    <w:abstractNumId w:val="6"/>
  </w:num>
  <w:num w:numId="33" w16cid:durableId="95685334">
    <w:abstractNumId w:val="38"/>
  </w:num>
  <w:num w:numId="34" w16cid:durableId="1068960500">
    <w:abstractNumId w:val="34"/>
  </w:num>
  <w:num w:numId="35" w16cid:durableId="1298486937">
    <w:abstractNumId w:val="33"/>
  </w:num>
  <w:num w:numId="36" w16cid:durableId="299116789">
    <w:abstractNumId w:val="37"/>
  </w:num>
  <w:num w:numId="37" w16cid:durableId="1027371121">
    <w:abstractNumId w:val="31"/>
  </w:num>
  <w:num w:numId="38" w16cid:durableId="2059081940">
    <w:abstractNumId w:val="16"/>
  </w:num>
  <w:num w:numId="39" w16cid:durableId="708457108">
    <w:abstractNumId w:val="29"/>
    <w:lvlOverride w:ilvl="0">
      <w:startOverride w:val="1"/>
    </w:lvlOverride>
  </w:num>
  <w:num w:numId="40" w16cid:durableId="1879581872">
    <w:abstractNumId w:val="14"/>
  </w:num>
  <w:num w:numId="41" w16cid:durableId="888300529">
    <w:abstractNumId w:val="41"/>
  </w:num>
  <w:num w:numId="42" w16cid:durableId="1608123203">
    <w:abstractNumId w:val="27"/>
  </w:num>
  <w:num w:numId="43" w16cid:durableId="213737036">
    <w:abstractNumId w:val="3"/>
  </w:num>
  <w:num w:numId="44" w16cid:durableId="1674910618">
    <w:abstractNumId w:val="15"/>
  </w:num>
  <w:num w:numId="45" w16cid:durableId="794831442">
    <w:abstractNumId w:val="18"/>
  </w:num>
  <w:num w:numId="46" w16cid:durableId="2140419601">
    <w:abstractNumId w:val="28"/>
  </w:num>
  <w:num w:numId="47" w16cid:durableId="13891824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37C8D"/>
    <w:rsid w:val="000511FA"/>
    <w:rsid w:val="000653A0"/>
    <w:rsid w:val="0006727E"/>
    <w:rsid w:val="00075A53"/>
    <w:rsid w:val="00077B09"/>
    <w:rsid w:val="00086F3A"/>
    <w:rsid w:val="00094308"/>
    <w:rsid w:val="0009471C"/>
    <w:rsid w:val="00097C3C"/>
    <w:rsid w:val="000A1E53"/>
    <w:rsid w:val="000A3328"/>
    <w:rsid w:val="000A3FFF"/>
    <w:rsid w:val="000A46A3"/>
    <w:rsid w:val="000A4DEC"/>
    <w:rsid w:val="000A6887"/>
    <w:rsid w:val="000C531D"/>
    <w:rsid w:val="000C75CE"/>
    <w:rsid w:val="000D3EC6"/>
    <w:rsid w:val="000D6B55"/>
    <w:rsid w:val="000E4269"/>
    <w:rsid w:val="001034B0"/>
    <w:rsid w:val="00107852"/>
    <w:rsid w:val="00142B90"/>
    <w:rsid w:val="0014614D"/>
    <w:rsid w:val="00173A6A"/>
    <w:rsid w:val="00186D06"/>
    <w:rsid w:val="00193F87"/>
    <w:rsid w:val="001A4541"/>
    <w:rsid w:val="001A75A3"/>
    <w:rsid w:val="001B0BC7"/>
    <w:rsid w:val="001B0F34"/>
    <w:rsid w:val="001E0A48"/>
    <w:rsid w:val="001E106E"/>
    <w:rsid w:val="0021781B"/>
    <w:rsid w:val="00243AA6"/>
    <w:rsid w:val="0026325B"/>
    <w:rsid w:val="002639D5"/>
    <w:rsid w:val="00276714"/>
    <w:rsid w:val="00293342"/>
    <w:rsid w:val="002A4E26"/>
    <w:rsid w:val="002B2F04"/>
    <w:rsid w:val="002B3043"/>
    <w:rsid w:val="002C4E83"/>
    <w:rsid w:val="002D2AF2"/>
    <w:rsid w:val="002F4F66"/>
    <w:rsid w:val="002F5ABD"/>
    <w:rsid w:val="003134AB"/>
    <w:rsid w:val="0032095F"/>
    <w:rsid w:val="00333046"/>
    <w:rsid w:val="0033349A"/>
    <w:rsid w:val="003401BA"/>
    <w:rsid w:val="00345564"/>
    <w:rsid w:val="003518DB"/>
    <w:rsid w:val="003539DF"/>
    <w:rsid w:val="00376D6C"/>
    <w:rsid w:val="003771F9"/>
    <w:rsid w:val="003A19A7"/>
    <w:rsid w:val="003D5EC9"/>
    <w:rsid w:val="003E064C"/>
    <w:rsid w:val="003E585C"/>
    <w:rsid w:val="004111D8"/>
    <w:rsid w:val="00414600"/>
    <w:rsid w:val="00415E72"/>
    <w:rsid w:val="00422C09"/>
    <w:rsid w:val="00433B5C"/>
    <w:rsid w:val="004436E4"/>
    <w:rsid w:val="00454949"/>
    <w:rsid w:val="00455400"/>
    <w:rsid w:val="004765D5"/>
    <w:rsid w:val="00484BEE"/>
    <w:rsid w:val="00486CE9"/>
    <w:rsid w:val="004A39D0"/>
    <w:rsid w:val="004A3E79"/>
    <w:rsid w:val="004D1E3C"/>
    <w:rsid w:val="004D2991"/>
    <w:rsid w:val="004E3EF8"/>
    <w:rsid w:val="004F195C"/>
    <w:rsid w:val="0050579B"/>
    <w:rsid w:val="005211DF"/>
    <w:rsid w:val="00521A68"/>
    <w:rsid w:val="00530C0F"/>
    <w:rsid w:val="00532E49"/>
    <w:rsid w:val="0055419F"/>
    <w:rsid w:val="00562F09"/>
    <w:rsid w:val="00570596"/>
    <w:rsid w:val="0059373D"/>
    <w:rsid w:val="00594C40"/>
    <w:rsid w:val="005A0866"/>
    <w:rsid w:val="005A7A72"/>
    <w:rsid w:val="005B09A6"/>
    <w:rsid w:val="005B2F11"/>
    <w:rsid w:val="005B7AE9"/>
    <w:rsid w:val="005C3C52"/>
    <w:rsid w:val="005E70AC"/>
    <w:rsid w:val="005E7D01"/>
    <w:rsid w:val="006221AE"/>
    <w:rsid w:val="006706E9"/>
    <w:rsid w:val="006749F0"/>
    <w:rsid w:val="00695ED2"/>
    <w:rsid w:val="006A1623"/>
    <w:rsid w:val="006A2BD3"/>
    <w:rsid w:val="006F57C1"/>
    <w:rsid w:val="006F6C8B"/>
    <w:rsid w:val="00710820"/>
    <w:rsid w:val="0071169E"/>
    <w:rsid w:val="0072302F"/>
    <w:rsid w:val="007416C9"/>
    <w:rsid w:val="007654E9"/>
    <w:rsid w:val="0078666F"/>
    <w:rsid w:val="007D20CC"/>
    <w:rsid w:val="007E0212"/>
    <w:rsid w:val="0080128D"/>
    <w:rsid w:val="0083098F"/>
    <w:rsid w:val="008345A8"/>
    <w:rsid w:val="0083675F"/>
    <w:rsid w:val="00882919"/>
    <w:rsid w:val="008C398B"/>
    <w:rsid w:val="008D269C"/>
    <w:rsid w:val="008D3E8C"/>
    <w:rsid w:val="008D7908"/>
    <w:rsid w:val="008D7E59"/>
    <w:rsid w:val="008F1ABC"/>
    <w:rsid w:val="008F74CB"/>
    <w:rsid w:val="0090340D"/>
    <w:rsid w:val="00907B47"/>
    <w:rsid w:val="009241F8"/>
    <w:rsid w:val="0094728F"/>
    <w:rsid w:val="009733F1"/>
    <w:rsid w:val="00981A61"/>
    <w:rsid w:val="009948C7"/>
    <w:rsid w:val="009A528F"/>
    <w:rsid w:val="009E7DC2"/>
    <w:rsid w:val="009F6219"/>
    <w:rsid w:val="00A45E0C"/>
    <w:rsid w:val="00A63122"/>
    <w:rsid w:val="00A75377"/>
    <w:rsid w:val="00AA7989"/>
    <w:rsid w:val="00AC2913"/>
    <w:rsid w:val="00B06E9E"/>
    <w:rsid w:val="00B10F0B"/>
    <w:rsid w:val="00B11B96"/>
    <w:rsid w:val="00B753C0"/>
    <w:rsid w:val="00BD350F"/>
    <w:rsid w:val="00BD42F8"/>
    <w:rsid w:val="00C533D5"/>
    <w:rsid w:val="00C67336"/>
    <w:rsid w:val="00C95406"/>
    <w:rsid w:val="00C96BFB"/>
    <w:rsid w:val="00CB7087"/>
    <w:rsid w:val="00CF0F13"/>
    <w:rsid w:val="00D1628F"/>
    <w:rsid w:val="00D3796E"/>
    <w:rsid w:val="00D40613"/>
    <w:rsid w:val="00D502FE"/>
    <w:rsid w:val="00D62543"/>
    <w:rsid w:val="00D7002D"/>
    <w:rsid w:val="00D863EE"/>
    <w:rsid w:val="00D934F4"/>
    <w:rsid w:val="00DB2C62"/>
    <w:rsid w:val="00DC079A"/>
    <w:rsid w:val="00DC09BD"/>
    <w:rsid w:val="00DC7489"/>
    <w:rsid w:val="00DD0129"/>
    <w:rsid w:val="00E02DCE"/>
    <w:rsid w:val="00E06416"/>
    <w:rsid w:val="00E2624F"/>
    <w:rsid w:val="00E275E4"/>
    <w:rsid w:val="00E30046"/>
    <w:rsid w:val="00E33224"/>
    <w:rsid w:val="00E744B2"/>
    <w:rsid w:val="00EA2A97"/>
    <w:rsid w:val="00EB4988"/>
    <w:rsid w:val="00EC3F2D"/>
    <w:rsid w:val="00ED2842"/>
    <w:rsid w:val="00ED4498"/>
    <w:rsid w:val="00EE4D44"/>
    <w:rsid w:val="00EE7567"/>
    <w:rsid w:val="00EF20BA"/>
    <w:rsid w:val="00EF30A6"/>
    <w:rsid w:val="00F04B6A"/>
    <w:rsid w:val="00F27AC5"/>
    <w:rsid w:val="00F32A43"/>
    <w:rsid w:val="00F55F2B"/>
    <w:rsid w:val="00F70303"/>
    <w:rsid w:val="00F729EB"/>
    <w:rsid w:val="00F813F3"/>
    <w:rsid w:val="00F87666"/>
    <w:rsid w:val="00F901EF"/>
    <w:rsid w:val="00F96D3D"/>
    <w:rsid w:val="00FA767E"/>
    <w:rsid w:val="00FB7B57"/>
    <w:rsid w:val="00FE0C6F"/>
    <w:rsid w:val="03877968"/>
    <w:rsid w:val="03C1A09B"/>
    <w:rsid w:val="04259FE9"/>
    <w:rsid w:val="069DBD89"/>
    <w:rsid w:val="098A8F5C"/>
    <w:rsid w:val="0A0817C7"/>
    <w:rsid w:val="0BCE022A"/>
    <w:rsid w:val="1A1CE85A"/>
    <w:rsid w:val="1A4B9E29"/>
    <w:rsid w:val="1E3DCB79"/>
    <w:rsid w:val="1F41F6C4"/>
    <w:rsid w:val="202E47E4"/>
    <w:rsid w:val="22A5E2C5"/>
    <w:rsid w:val="26A77FF8"/>
    <w:rsid w:val="26E0B71C"/>
    <w:rsid w:val="2A28D8D9"/>
    <w:rsid w:val="2CEA30BD"/>
    <w:rsid w:val="2FEF5904"/>
    <w:rsid w:val="308D399B"/>
    <w:rsid w:val="365E0A64"/>
    <w:rsid w:val="36DF4FBC"/>
    <w:rsid w:val="41822850"/>
    <w:rsid w:val="41B7A84D"/>
    <w:rsid w:val="4296DC2D"/>
    <w:rsid w:val="45FCE0E2"/>
    <w:rsid w:val="4B8B7C7F"/>
    <w:rsid w:val="4E5CF895"/>
    <w:rsid w:val="517C4065"/>
    <w:rsid w:val="5A5CCD42"/>
    <w:rsid w:val="5C21979E"/>
    <w:rsid w:val="5C552852"/>
    <w:rsid w:val="5F736A75"/>
    <w:rsid w:val="607151DD"/>
    <w:rsid w:val="6C968961"/>
    <w:rsid w:val="6CDCB3CC"/>
    <w:rsid w:val="70EFB3A2"/>
    <w:rsid w:val="748C5E53"/>
    <w:rsid w:val="7511FAE3"/>
    <w:rsid w:val="7AE581A7"/>
    <w:rsid w:val="7B892A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A084FDAA-336F-4EE6-B8E3-4AA9DDF6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PublicSans-Thin" w:eastAsia="PublicSans-Thin" w:hAnsi="PublicSans-Thin" w:cs="PublicSans-Thin"/>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165486">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692000319">
      <w:bodyDiv w:val="1"/>
      <w:marLeft w:val="0"/>
      <w:marRight w:val="0"/>
      <w:marTop w:val="0"/>
      <w:marBottom w:val="0"/>
      <w:divBdr>
        <w:top w:val="none" w:sz="0" w:space="0" w:color="auto"/>
        <w:left w:val="none" w:sz="0" w:space="0" w:color="auto"/>
        <w:bottom w:val="none" w:sz="0" w:space="0" w:color="auto"/>
        <w:right w:val="none" w:sz="0" w:space="0" w:color="auto"/>
      </w:divBdr>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0137788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 w:id="2130392613">
      <w:bodyDiv w:val="1"/>
      <w:marLeft w:val="0"/>
      <w:marRight w:val="0"/>
      <w:marTop w:val="0"/>
      <w:marBottom w:val="0"/>
      <w:divBdr>
        <w:top w:val="none" w:sz="0" w:space="0" w:color="auto"/>
        <w:left w:val="none" w:sz="0" w:space="0" w:color="auto"/>
        <w:bottom w:val="none" w:sz="0" w:space="0" w:color="auto"/>
        <w:right w:val="none" w:sz="0" w:space="0" w:color="auto"/>
      </w:divBdr>
      <w:divsChild>
        <w:div w:id="457845816">
          <w:marLeft w:val="360"/>
          <w:marRight w:val="0"/>
          <w:marTop w:val="200"/>
          <w:marBottom w:val="0"/>
          <w:divBdr>
            <w:top w:val="none" w:sz="0" w:space="0" w:color="auto"/>
            <w:left w:val="none" w:sz="0" w:space="0" w:color="auto"/>
            <w:bottom w:val="none" w:sz="0" w:space="0" w:color="auto"/>
            <w:right w:val="none" w:sz="0" w:space="0" w:color="auto"/>
          </w:divBdr>
        </w:div>
        <w:div w:id="626086436">
          <w:marLeft w:val="1267"/>
          <w:marRight w:val="0"/>
          <w:marTop w:val="100"/>
          <w:marBottom w:val="0"/>
          <w:divBdr>
            <w:top w:val="none" w:sz="0" w:space="0" w:color="auto"/>
            <w:left w:val="none" w:sz="0" w:space="0" w:color="auto"/>
            <w:bottom w:val="none" w:sz="0" w:space="0" w:color="auto"/>
            <w:right w:val="none" w:sz="0" w:space="0" w:color="auto"/>
          </w:divBdr>
        </w:div>
        <w:div w:id="1457678861">
          <w:marLeft w:val="1267"/>
          <w:marRight w:val="0"/>
          <w:marTop w:val="100"/>
          <w:marBottom w:val="0"/>
          <w:divBdr>
            <w:top w:val="none" w:sz="0" w:space="0" w:color="auto"/>
            <w:left w:val="none" w:sz="0" w:space="0" w:color="auto"/>
            <w:bottom w:val="none" w:sz="0" w:space="0" w:color="auto"/>
            <w:right w:val="none" w:sz="0" w:space="0" w:color="auto"/>
          </w:divBdr>
        </w:div>
        <w:div w:id="1659071802">
          <w:marLeft w:val="1267"/>
          <w:marRight w:val="0"/>
          <w:marTop w:val="100"/>
          <w:marBottom w:val="0"/>
          <w:divBdr>
            <w:top w:val="none" w:sz="0" w:space="0" w:color="auto"/>
            <w:left w:val="none" w:sz="0" w:space="0" w:color="auto"/>
            <w:bottom w:val="none" w:sz="0" w:space="0" w:color="auto"/>
            <w:right w:val="none" w:sz="0" w:space="0" w:color="auto"/>
          </w:divBdr>
        </w:div>
        <w:div w:id="1807355358">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amibian.com.na/namibia-records-about-6-000-malaria-cases-28-deaths-since-decebe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mibian.com.na/health-ministry-on-high-alert-as-malaria-cases-increase-nine-deaths-recorded/"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TranslatedLang xmlns="ca299543-0ab4-429f-8927-bf8e8716a0c2" xsi:nil="true"/>
    <Comments xmlns="ca299543-0ab4-429f-8927-bf8e8716a0c2"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2.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3.xml><?xml version="1.0" encoding="utf-8"?>
<ds:datastoreItem xmlns:ds="http://schemas.openxmlformats.org/officeDocument/2006/customXml" ds:itemID="{5BA0121D-448A-4FD2-B7B9-FDB39EFD5C39}"/>
</file>

<file path=customXml/itemProps4.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ca299543-0ab4-429f-8927-bf8e8716a0c2"/>
    <ds:schemaRef ds:uri="d27c8f07-e503-4122-80c5-e52ee84151d4"/>
    <ds:schemaRef ds:uri="d278d6d4-1e95-49d0-ad8b-8a60c47dc760"/>
    <ds:schemaRef ds:uri="c5613cd5-748e-412e-9a2f-bebdac0f41f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728</Words>
  <Characters>4155</Characters>
  <Application>Microsoft Office Word</Application>
  <DocSecurity>0</DocSecurity>
  <Lines>34</Lines>
  <Paragraphs>9</Paragraphs>
  <ScaleCrop>false</ScaleCrop>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22</cp:revision>
  <cp:lastPrinted>2024-08-16T11:26:00Z</cp:lastPrinted>
  <dcterms:created xsi:type="dcterms:W3CDTF">2025-02-04T03:41:00Z</dcterms:created>
  <dcterms:modified xsi:type="dcterms:W3CDTF">2025-05-15T18:14:00Z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_dlc_DocIdItemGuid">
    <vt:lpwstr>2c74a4cf-1ee4-45e9-b51a-40a6f4645bf3</vt:lpwstr>
  </property>
</Properties>
</file>